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785BE" w14:textId="77777777" w:rsidR="004661E8" w:rsidRDefault="00046042" w:rsidP="00D57D0D">
      <w:pPr>
        <w:jc w:val="both"/>
      </w:pPr>
      <w:r>
        <w:t>El Instituto de Inve</w:t>
      </w:r>
      <w:bookmarkStart w:id="0" w:name="_GoBack"/>
      <w:bookmarkEnd w:id="0"/>
      <w:r>
        <w:t>stigación Sanitaria (IIS) Gregorio Marañón (IiSGM) fue constituido en 2010 fruto de la integración de grupos de investigación procedentes del Hospital General Universitario Gregorio Marañón (HGUGM), de la Universidad Complutense de Madrid (UCM) y de la Universidad Carlos III de Madrid (UC3M), con la participación del Servicio Madrileño de Salud (SERMAS</w:t>
      </w:r>
      <w:r w:rsidR="004661E8">
        <w:t>)</w:t>
      </w:r>
      <w:r>
        <w:t xml:space="preserve"> a través del HGUGM y de la Dirección General de Investigación, Docencia y Comunicación de la Consejería de Sanidad de la Comunidad de Madrid. </w:t>
      </w:r>
    </w:p>
    <w:p w14:paraId="6F7E1958" w14:textId="77777777" w:rsidR="004661E8" w:rsidRDefault="00046042" w:rsidP="00D57D0D">
      <w:pPr>
        <w:jc w:val="both"/>
      </w:pPr>
      <w:r>
        <w:t>En 2012 fue acreditado como IIS por el Instituto de Salud Carlos III (ISCIII), en 2017 renovó est</w:t>
      </w:r>
      <w:r w:rsidR="004661E8">
        <w:t>e</w:t>
      </w:r>
      <w:r>
        <w:t xml:space="preserve"> </w:t>
      </w:r>
      <w:r w:rsidR="004661E8">
        <w:t xml:space="preserve">mérito </w:t>
      </w:r>
      <w:r>
        <w:t xml:space="preserve">y en 2022 obtuvo una nueva renovación de la acreditación. </w:t>
      </w:r>
    </w:p>
    <w:p w14:paraId="7EB9FF56" w14:textId="4B327601" w:rsidR="00046042" w:rsidRDefault="00046042" w:rsidP="00D57D0D">
      <w:pPr>
        <w:jc w:val="both"/>
      </w:pPr>
      <w:r>
        <w:t xml:space="preserve">En la actualidad, este núcleo de investigación biomédica, multidisciplinar y </w:t>
      </w:r>
      <w:proofErr w:type="spellStart"/>
      <w:r>
        <w:t>traslacional</w:t>
      </w:r>
      <w:proofErr w:type="spellEnd"/>
      <w:r>
        <w:t xml:space="preserve">, cuenta con </w:t>
      </w:r>
      <w:r w:rsidR="00DE19EC" w:rsidRPr="00DE19EC">
        <w:t>5</w:t>
      </w:r>
      <w:r w:rsidR="00CB6689">
        <w:t>4</w:t>
      </w:r>
      <w:r>
        <w:t xml:space="preserve"> grupos de investigación</w:t>
      </w:r>
      <w:r w:rsidR="004661E8">
        <w:t xml:space="preserve"> (</w:t>
      </w:r>
      <w:r>
        <w:t>incluyendo un grupo independiente de Investigación en Cuidados de Enfermería,</w:t>
      </w:r>
      <w:r w:rsidR="00C621D8">
        <w:t xml:space="preserve"> y</w:t>
      </w:r>
      <w:r>
        <w:t xml:space="preserve"> </w:t>
      </w:r>
      <w:r w:rsidR="004661E8">
        <w:t xml:space="preserve">un </w:t>
      </w:r>
      <w:r w:rsidR="00C621D8">
        <w:t>grupo de Investigación e Innovación en Gestión Sanitaria</w:t>
      </w:r>
      <w:r w:rsidR="004661E8">
        <w:t>)</w:t>
      </w:r>
      <w:r w:rsidR="00D23DA8">
        <w:t>,</w:t>
      </w:r>
      <w:r w:rsidR="00C621D8">
        <w:t xml:space="preserve"> </w:t>
      </w:r>
      <w:r w:rsidR="004661E8">
        <w:t>que se dispuestos</w:t>
      </w:r>
      <w:r>
        <w:t xml:space="preserve"> en torno a siete Áreas de Investigación priorizadas: 1) Ingeniería Biomédica, 2) Enfermedades Cardiovasculares, 3) Neurociencias y Salud Mental, 4) Microbiología clínica, Enfermedades Infecciosas y SIDA, 5) Patología del Sistema Inmune, 6) Oncología Traslacional, y 7) Patología de Grandes Sistemas y Trasplante de Órganos. En su conjunto todas las áreas desarrollan investigación aplicada a la práctica asistencial con marcado carácter traslacional en un contexto de amplia colaboración interáreas y que se encuentra en sincronía con los objetivos del Plan Estatal de I+D+I y, más concretamente, de la Acción Estratégica en Salud del ISCIII.</w:t>
      </w:r>
    </w:p>
    <w:p w14:paraId="622C3A4F" w14:textId="57839AB5" w:rsidR="008321D9" w:rsidRDefault="008321D9" w:rsidP="00D57D0D">
      <w:pPr>
        <w:jc w:val="both"/>
      </w:pPr>
      <w:r>
        <w:t xml:space="preserve">Para proporcionar y facilitar el acceso a los investigadores del IiSGM a la tecnología necesaria y de vanguardia que permita abordar los problemas biomédicos, el IISGM cuenta con infraestructuras y equipamientos singulares integrados en su red de </w:t>
      </w:r>
      <w:hyperlink r:id="rId6" w:history="1">
        <w:r w:rsidRPr="00DF3DB3">
          <w:rPr>
            <w:rStyle w:val="Hipervnculo"/>
          </w:rPr>
          <w:t>Servicios de Apoyo a la Investigación</w:t>
        </w:r>
      </w:hyperlink>
      <w:r>
        <w:t xml:space="preserve"> (</w:t>
      </w:r>
      <w:proofErr w:type="spellStart"/>
      <w:r>
        <w:t>SAIs</w:t>
      </w:r>
      <w:proofErr w:type="spellEnd"/>
      <w:r>
        <w:t xml:space="preserve">), con vocación de servicio común y accesibilidad para los grupos de investigación de </w:t>
      </w:r>
      <w:proofErr w:type="spellStart"/>
      <w:r>
        <w:t>liSGM</w:t>
      </w:r>
      <w:proofErr w:type="spellEnd"/>
      <w:r>
        <w:t>. A día de hoy e</w:t>
      </w:r>
      <w:r w:rsidR="00DF3DB3">
        <w:t xml:space="preserve">l IiSGM cuenta con </w:t>
      </w:r>
      <w:r>
        <w:t xml:space="preserve">21 </w:t>
      </w:r>
      <w:proofErr w:type="spellStart"/>
      <w:r>
        <w:t>SAIs</w:t>
      </w:r>
      <w:proofErr w:type="spellEnd"/>
      <w:r>
        <w:t xml:space="preserve"> estructurados en cinco plataformas en func</w:t>
      </w:r>
      <w:r w:rsidR="00B130D6">
        <w:t xml:space="preserve">ión del objeto de investigación. </w:t>
      </w:r>
    </w:p>
    <w:p w14:paraId="602CAFCC" w14:textId="5FA3ABA7" w:rsidR="003F085F" w:rsidRDefault="00602B97" w:rsidP="00D57D0D">
      <w:pPr>
        <w:jc w:val="both"/>
      </w:pPr>
      <w:r w:rsidRPr="00602B97">
        <w:t>Para el IiSGM la tecnología es uno de los pilares para conferir a su producción científica-</w:t>
      </w:r>
      <w:proofErr w:type="spellStart"/>
      <w:r w:rsidRPr="00602B97">
        <w:t>traslacional</w:t>
      </w:r>
      <w:proofErr w:type="spellEnd"/>
      <w:r w:rsidRPr="00602B97">
        <w:t xml:space="preserve"> el valor añadido y diferencial que la competitividad del entorno científico requiere, por </w:t>
      </w:r>
      <w:r w:rsidR="003F085F" w:rsidRPr="00602B97">
        <w:t>tanto,</w:t>
      </w:r>
      <w:r w:rsidRPr="00602B97">
        <w:t xml:space="preserve"> considera estratégico organizar adecuadamente el área Tecnológica y de Infraestructuras, potenciando unidades comunes, con vocación de servicio, trabajo eficiente y total accesibilidad en beneficio de todo el cuerpo científico-médico del Instituto.</w:t>
      </w:r>
    </w:p>
    <w:p w14:paraId="2DAC5E6B" w14:textId="7F9E3D2B" w:rsidR="00B130D6" w:rsidRDefault="00DF3DB3" w:rsidP="00B130D6">
      <w:pPr>
        <w:jc w:val="both"/>
      </w:pPr>
      <w:r>
        <w:t>Con estas premisas e</w:t>
      </w:r>
      <w:r w:rsidR="00046042">
        <w:t xml:space="preserve">l IiSGM orienta su actividad investigadora en torno a una política científica estructurada alrededor de su </w:t>
      </w:r>
      <w:r w:rsidR="004661E8">
        <w:t>P</w:t>
      </w:r>
      <w:r w:rsidR="00046042">
        <w:t xml:space="preserve">royecto </w:t>
      </w:r>
      <w:r w:rsidR="004661E8">
        <w:t>C</w:t>
      </w:r>
      <w:r w:rsidR="00046042">
        <w:t xml:space="preserve">ientífico </w:t>
      </w:r>
      <w:r w:rsidR="004661E8">
        <w:t>C</w:t>
      </w:r>
      <w:r w:rsidR="00046042">
        <w:t xml:space="preserve">ooperativo y de su propio </w:t>
      </w:r>
      <w:hyperlink r:id="rId7" w:history="1">
        <w:r w:rsidR="00046042" w:rsidRPr="00DF3DB3">
          <w:rPr>
            <w:rStyle w:val="Hipervnculo"/>
          </w:rPr>
          <w:t>Plan Estratégico</w:t>
        </w:r>
      </w:hyperlink>
      <w:r w:rsidR="00046042">
        <w:t>. Para el periodo 2022-2026 se pl</w:t>
      </w:r>
      <w:r w:rsidR="00B130D6">
        <w:t xml:space="preserve">antearon 4 objetivos estratégicos, y para </w:t>
      </w:r>
      <w:r w:rsidR="00B130D6">
        <w:t xml:space="preserve">lograr </w:t>
      </w:r>
      <w:r w:rsidR="00B130D6">
        <w:t>su</w:t>
      </w:r>
      <w:r w:rsidR="00B130D6">
        <w:t xml:space="preserve"> consecución se establecieron 4 Ejes de Actuación (en los que se han definido 28 Planes de actuación): Eje 1: Internacionalización, Cooperación y Visibilidad. Eje 2: Gestión e Infraestructuras. Eje 3: Investigación </w:t>
      </w:r>
      <w:proofErr w:type="spellStart"/>
      <w:r w:rsidR="00B130D6">
        <w:t>Traslacional</w:t>
      </w:r>
      <w:proofErr w:type="spellEnd"/>
      <w:r w:rsidR="00B130D6">
        <w:t xml:space="preserve"> y Sociedad. Eje 4: Innovación.</w:t>
      </w:r>
    </w:p>
    <w:p w14:paraId="22986D53" w14:textId="135DF3AB" w:rsidR="00C621D8" w:rsidRDefault="006B64E0" w:rsidP="00D23DA8">
      <w:pPr>
        <w:jc w:val="both"/>
      </w:pPr>
      <w:r>
        <w:t xml:space="preserve">El IiSGM </w:t>
      </w:r>
      <w:r w:rsidR="00C10F8A">
        <w:t xml:space="preserve">acoge </w:t>
      </w:r>
      <w:r w:rsidR="00C10F8A" w:rsidRPr="00DE19EC">
        <w:t xml:space="preserve">a </w:t>
      </w:r>
      <w:r w:rsidR="00C621D8" w:rsidRPr="00DE19EC">
        <w:t>12</w:t>
      </w:r>
      <w:r w:rsidR="00DE19EC" w:rsidRPr="00DE19EC">
        <w:t>68</w:t>
      </w:r>
      <w:r w:rsidR="00C621D8" w:rsidRPr="00DE19EC">
        <w:t xml:space="preserve"> </w:t>
      </w:r>
      <w:r w:rsidR="00C621D8">
        <w:t>investigadores (</w:t>
      </w:r>
      <w:r w:rsidR="00C621D8" w:rsidRPr="00DE19EC">
        <w:t>3</w:t>
      </w:r>
      <w:r w:rsidR="00DE19EC" w:rsidRPr="00DE19EC">
        <w:t>11</w:t>
      </w:r>
      <w:r w:rsidR="00C621D8">
        <w:t xml:space="preserve"> </w:t>
      </w:r>
      <w:r w:rsidR="00C10F8A">
        <w:t xml:space="preserve">de ellos </w:t>
      </w:r>
      <w:r w:rsidR="00C621D8">
        <w:t xml:space="preserve">contratados por la FIBHGM), </w:t>
      </w:r>
      <w:r w:rsidR="00C10F8A">
        <w:t>de los cuales 9</w:t>
      </w:r>
      <w:r w:rsidR="00DE19EC">
        <w:t xml:space="preserve">6 </w:t>
      </w:r>
      <w:r w:rsidR="00C621D8">
        <w:t xml:space="preserve">de ellos </w:t>
      </w:r>
      <w:r w:rsidR="00D7126A">
        <w:t xml:space="preserve">son investigadores principales </w:t>
      </w:r>
      <w:r w:rsidR="00C621D8">
        <w:t xml:space="preserve">con un proyecto activo, y </w:t>
      </w:r>
      <w:r w:rsidR="00323BF6">
        <w:t>20</w:t>
      </w:r>
      <w:r w:rsidR="00C621D8">
        <w:t xml:space="preserve"> servicios de apoyo a la investigación. </w:t>
      </w:r>
      <w:r w:rsidR="00D7126A">
        <w:t xml:space="preserve">Cuenta </w:t>
      </w:r>
      <w:r w:rsidR="00D7126A" w:rsidRPr="00DE19EC">
        <w:t>con</w:t>
      </w:r>
      <w:r w:rsidR="00C621D8" w:rsidRPr="00DE19EC">
        <w:t xml:space="preserve"> </w:t>
      </w:r>
      <w:r w:rsidR="00DE19EC" w:rsidRPr="00DE19EC">
        <w:t>147</w:t>
      </w:r>
      <w:r w:rsidR="00C621D8" w:rsidRPr="00DE19EC">
        <w:t xml:space="preserve"> </w:t>
      </w:r>
      <w:r w:rsidR="00C621D8">
        <w:t>proyectos competitivo en marcha,</w:t>
      </w:r>
      <w:r w:rsidR="00D7126A">
        <w:t xml:space="preserve"> de los </w:t>
      </w:r>
      <w:r w:rsidR="00D7126A" w:rsidRPr="00DE19EC">
        <w:t>cuales</w:t>
      </w:r>
      <w:r w:rsidR="00C621D8" w:rsidRPr="00DE19EC">
        <w:t xml:space="preserve"> </w:t>
      </w:r>
      <w:r w:rsidR="00DE19EC" w:rsidRPr="00DE19EC">
        <w:t>70</w:t>
      </w:r>
      <w:r w:rsidR="00C621D8" w:rsidRPr="00DE19EC">
        <w:t xml:space="preserve"> obtienen </w:t>
      </w:r>
      <w:r w:rsidR="00C621D8">
        <w:t xml:space="preserve">su financiación de convocatorias en concurrencia competitiva y </w:t>
      </w:r>
      <w:r w:rsidR="00C621D8" w:rsidRPr="00DE19EC">
        <w:t>2</w:t>
      </w:r>
      <w:r w:rsidR="00DE19EC" w:rsidRPr="00DE19EC">
        <w:t>1</w:t>
      </w:r>
      <w:r w:rsidR="00C621D8">
        <w:t xml:space="preserve"> son ayudas </w:t>
      </w:r>
      <w:proofErr w:type="spellStart"/>
      <w:r w:rsidR="00C621D8">
        <w:t>intramurales</w:t>
      </w:r>
      <w:proofErr w:type="spellEnd"/>
      <w:r w:rsidR="00C621D8">
        <w:t>. Adicionalmente 2</w:t>
      </w:r>
      <w:r w:rsidR="00DE19EC">
        <w:t>1</w:t>
      </w:r>
      <w:r w:rsidR="00C621D8">
        <w:t xml:space="preserve"> grupos de investigación pertenecen a estructuras estables de investigación cooperativa</w:t>
      </w:r>
      <w:r w:rsidR="00D23DA8">
        <w:t xml:space="preserve"> RICORS</w:t>
      </w:r>
      <w:r w:rsidR="00D23DA8" w:rsidRPr="00D23DA8">
        <w:t xml:space="preserve"> </w:t>
      </w:r>
      <w:r w:rsidR="00D23DA8">
        <w:t>y CIBER (destacando que somos Coordinadores en uno de ellos -CIBERCV-).</w:t>
      </w:r>
    </w:p>
    <w:p w14:paraId="379E901F" w14:textId="43C1D560" w:rsidR="00C621D8" w:rsidRDefault="00B130D6" w:rsidP="00D23DA8">
      <w:pPr>
        <w:jc w:val="both"/>
      </w:pPr>
      <w:r>
        <w:t>En cuanto a</w:t>
      </w:r>
      <w:r w:rsidR="00C621D8">
        <w:t xml:space="preserve"> los ensayos clínicos destacar que la FIBHGM gestiona </w:t>
      </w:r>
      <w:r w:rsidR="00DE19EC" w:rsidRPr="00DE19EC">
        <w:t>1965</w:t>
      </w:r>
      <w:r w:rsidR="00C621D8" w:rsidRPr="00DE19EC">
        <w:t xml:space="preserve"> </w:t>
      </w:r>
      <w:r w:rsidR="00C621D8">
        <w:t>estudios y ensayos clínicos. Además, se han gestionado: 9</w:t>
      </w:r>
      <w:r w:rsidR="00DE19EC">
        <w:t>5</w:t>
      </w:r>
      <w:r w:rsidR="00C621D8">
        <w:t xml:space="preserve"> acuerdos, 11</w:t>
      </w:r>
      <w:r w:rsidR="00DE19EC">
        <w:t>4</w:t>
      </w:r>
      <w:r w:rsidR="00C621D8">
        <w:t xml:space="preserve"> contratos y </w:t>
      </w:r>
      <w:r w:rsidR="00DE19EC">
        <w:t>79</w:t>
      </w:r>
      <w:r w:rsidR="00C621D8">
        <w:t xml:space="preserve"> donaciones. </w:t>
      </w:r>
    </w:p>
    <w:p w14:paraId="590BC55C" w14:textId="3712EAE7" w:rsidR="00C621D8" w:rsidRDefault="00B130D6" w:rsidP="00D23DA8">
      <w:pPr>
        <w:jc w:val="both"/>
      </w:pPr>
      <w:r>
        <w:lastRenderedPageBreak/>
        <w:t>Respecto a</w:t>
      </w:r>
      <w:r w:rsidR="00C621D8">
        <w:t xml:space="preserve"> </w:t>
      </w:r>
      <w:r w:rsidR="00D23DA8">
        <w:t>I</w:t>
      </w:r>
      <w:r w:rsidR="00C621D8">
        <w:t>nnovación, el IiSG</w:t>
      </w:r>
      <w:r w:rsidR="00DE19EC">
        <w:t>M participa en actualmente en 158</w:t>
      </w:r>
      <w:r w:rsidR="00C621D8">
        <w:t xml:space="preserve"> proyectos activos de innovación, de los que </w:t>
      </w:r>
      <w:r w:rsidR="00DE19EC">
        <w:t>94</w:t>
      </w:r>
      <w:r w:rsidR="00C621D8">
        <w:t xml:space="preserve"> de ellos son patentes y el resto (5</w:t>
      </w:r>
      <w:r w:rsidR="00DE19EC">
        <w:t>3</w:t>
      </w:r>
      <w:r w:rsidR="00C621D8">
        <w:t xml:space="preserve">) son derechos de autor. </w:t>
      </w:r>
    </w:p>
    <w:p w14:paraId="174563E1" w14:textId="2B0EDBBC" w:rsidR="00C10F8A" w:rsidRDefault="00DF3DB3" w:rsidP="00C621D8">
      <w:pPr>
        <w:jc w:val="both"/>
      </w:pPr>
      <w:r>
        <w:t xml:space="preserve">En cuanto a </w:t>
      </w:r>
      <w:r w:rsidR="00C621D8">
        <w:t>la producción científica, se c</w:t>
      </w:r>
      <w:r>
        <w:t xml:space="preserve">ontabilizan </w:t>
      </w:r>
      <w:r w:rsidR="00C621D8">
        <w:t>1</w:t>
      </w:r>
      <w:r w:rsidR="006B64E0">
        <w:t>2</w:t>
      </w:r>
      <w:r w:rsidR="00DE19EC">
        <w:t xml:space="preserve">06 </w:t>
      </w:r>
      <w:r w:rsidR="00C621D8">
        <w:t>publicaciones</w:t>
      </w:r>
      <w:r w:rsidR="00DE19EC">
        <w:t xml:space="preserve"> (25% en revistas de primer </w:t>
      </w:r>
      <w:proofErr w:type="spellStart"/>
      <w:r w:rsidR="00DE19EC">
        <w:t>decil</w:t>
      </w:r>
      <w:proofErr w:type="spellEnd"/>
      <w:r w:rsidR="00DE19EC">
        <w:t xml:space="preserve">, </w:t>
      </w:r>
      <w:r w:rsidR="00C621D8">
        <w:t>5</w:t>
      </w:r>
      <w:r w:rsidR="00DE19EC">
        <w:t>6</w:t>
      </w:r>
      <w:r w:rsidR="00C621D8">
        <w:t xml:space="preserve">% en revistas de primer cuartil y el </w:t>
      </w:r>
      <w:r w:rsidR="00DE19EC">
        <w:t>43</w:t>
      </w:r>
      <w:r w:rsidR="00C621D8">
        <w:t>% tienen como autor principal a un investigador del IiSGM</w:t>
      </w:r>
      <w:r w:rsidR="00DE19EC">
        <w:t>) con un factor de impacto de 6962 puntos y un factor de impacto medio de 5,77</w:t>
      </w:r>
      <w:r w:rsidR="00C621D8">
        <w:t>.</w:t>
      </w:r>
      <w:r w:rsidR="00046042">
        <w:t xml:space="preserve"> </w:t>
      </w:r>
    </w:p>
    <w:p w14:paraId="60135A96" w14:textId="385CA6D9" w:rsidR="00602B97" w:rsidRPr="008321D9" w:rsidRDefault="00491C48" w:rsidP="00491C48">
      <w:pPr>
        <w:jc w:val="both"/>
      </w:pPr>
      <w:r w:rsidRPr="008321D9">
        <w:t>Para a</w:t>
      </w:r>
      <w:r w:rsidR="00602B97" w:rsidRPr="008321D9">
        <w:t xml:space="preserve">compañar </w:t>
      </w:r>
      <w:r w:rsidRPr="008321D9">
        <w:t>a</w:t>
      </w:r>
      <w:r w:rsidR="001F62B2" w:rsidRPr="008321D9">
        <w:t xml:space="preserve"> </w:t>
      </w:r>
      <w:r w:rsidRPr="008321D9">
        <w:t xml:space="preserve">los investigadores del IiSGM, este año </w:t>
      </w:r>
      <w:r w:rsidR="001F62B2" w:rsidRPr="008321D9">
        <w:t>s</w:t>
      </w:r>
      <w:r w:rsidRPr="008321D9">
        <w:t xml:space="preserve">e </w:t>
      </w:r>
      <w:r w:rsidR="00602B97" w:rsidRPr="008321D9">
        <w:t>pone</w:t>
      </w:r>
      <w:r w:rsidRPr="008321D9">
        <w:t xml:space="preserve"> en marcha un Programa de </w:t>
      </w:r>
      <w:proofErr w:type="spellStart"/>
      <w:r w:rsidRPr="008321D9">
        <w:t>Mentor</w:t>
      </w:r>
      <w:r w:rsidR="00602B97" w:rsidRPr="008321D9">
        <w:t>í</w:t>
      </w:r>
      <w:r w:rsidRPr="008321D9">
        <w:t>a</w:t>
      </w:r>
      <w:proofErr w:type="spellEnd"/>
      <w:r w:rsidR="001F62B2" w:rsidRPr="008321D9">
        <w:t xml:space="preserve"> (Programa Telémaco)</w:t>
      </w:r>
      <w:r w:rsidR="00602B97" w:rsidRPr="008321D9">
        <w:t xml:space="preserve"> y</w:t>
      </w:r>
      <w:r w:rsidRPr="008321D9">
        <w:t xml:space="preserve"> </w:t>
      </w:r>
      <w:r w:rsidR="001F62B2" w:rsidRPr="008321D9">
        <w:t>una</w:t>
      </w:r>
      <w:r w:rsidRPr="008321D9">
        <w:t xml:space="preserve"> Comisión de Integridad </w:t>
      </w:r>
      <w:r w:rsidR="001F62B2" w:rsidRPr="008321D9">
        <w:t>C</w:t>
      </w:r>
      <w:r w:rsidRPr="008321D9">
        <w:t>ientífica</w:t>
      </w:r>
      <w:r w:rsidR="00602B97" w:rsidRPr="008321D9">
        <w:t xml:space="preserve">. </w:t>
      </w:r>
      <w:r w:rsidR="008321D9" w:rsidRPr="008321D9">
        <w:t>Además,</w:t>
      </w:r>
      <w:r w:rsidR="003F085F" w:rsidRPr="008321D9">
        <w:t xml:space="preserve"> se</w:t>
      </w:r>
      <w:r w:rsidRPr="008321D9">
        <w:t xml:space="preserve"> ha mejorado la participación de los investigadores </w:t>
      </w:r>
      <w:r w:rsidR="003F085F" w:rsidRPr="008321D9">
        <w:t xml:space="preserve">y pacientes </w:t>
      </w:r>
      <w:r w:rsidRPr="008321D9">
        <w:t>en los órganos de toma de decisiones</w:t>
      </w:r>
      <w:r w:rsidR="00602B97" w:rsidRPr="008321D9">
        <w:t xml:space="preserve"> del IiSGM.</w:t>
      </w:r>
    </w:p>
    <w:p w14:paraId="221AF586" w14:textId="0E151242" w:rsidR="00AE7BCB" w:rsidRDefault="00491C48" w:rsidP="00C51FDF">
      <w:pPr>
        <w:jc w:val="both"/>
      </w:pPr>
      <w:r w:rsidRPr="00491C48">
        <w:t xml:space="preserve">En esta anualidad se mantienen las acreditaciones de calidad de: </w:t>
      </w:r>
      <w:proofErr w:type="spellStart"/>
      <w:r w:rsidRPr="00491C48">
        <w:t>Joint</w:t>
      </w:r>
      <w:proofErr w:type="spellEnd"/>
      <w:r w:rsidRPr="00491C48">
        <w:t xml:space="preserve"> </w:t>
      </w:r>
      <w:proofErr w:type="spellStart"/>
      <w:r w:rsidRPr="00491C48">
        <w:t>Commission</w:t>
      </w:r>
      <w:proofErr w:type="spellEnd"/>
      <w:r w:rsidRPr="00491C48">
        <w:t xml:space="preserve"> International, EFQM 500, ISO 9001:2015, ISO 56001 y HRS4R</w:t>
      </w:r>
      <w:r w:rsidR="004D18C9">
        <w:t>.</w:t>
      </w:r>
    </w:p>
    <w:sectPr w:rsidR="00AE7B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9262B"/>
    <w:multiLevelType w:val="hybridMultilevel"/>
    <w:tmpl w:val="F9B42E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1A717B5"/>
    <w:multiLevelType w:val="hybridMultilevel"/>
    <w:tmpl w:val="5F3050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CCF7ED9"/>
    <w:multiLevelType w:val="hybridMultilevel"/>
    <w:tmpl w:val="A50E9D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CF81C96"/>
    <w:multiLevelType w:val="hybridMultilevel"/>
    <w:tmpl w:val="E43C95BA"/>
    <w:lvl w:ilvl="0" w:tplc="FD8220DC">
      <w:numFmt w:val="bullet"/>
      <w:lvlText w:val="•"/>
      <w:lvlJc w:val="left"/>
      <w:pPr>
        <w:ind w:left="1070" w:hanging="71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042"/>
    <w:rsid w:val="00046042"/>
    <w:rsid w:val="00147072"/>
    <w:rsid w:val="001A432E"/>
    <w:rsid w:val="001F62B2"/>
    <w:rsid w:val="002D0F98"/>
    <w:rsid w:val="00323BF6"/>
    <w:rsid w:val="003F085F"/>
    <w:rsid w:val="0041159D"/>
    <w:rsid w:val="004661E8"/>
    <w:rsid w:val="0048328D"/>
    <w:rsid w:val="00491C48"/>
    <w:rsid w:val="004D18C9"/>
    <w:rsid w:val="00536C37"/>
    <w:rsid w:val="005C34DD"/>
    <w:rsid w:val="00602B97"/>
    <w:rsid w:val="00605267"/>
    <w:rsid w:val="00605DB6"/>
    <w:rsid w:val="006B64E0"/>
    <w:rsid w:val="00715F68"/>
    <w:rsid w:val="007578B5"/>
    <w:rsid w:val="007A3239"/>
    <w:rsid w:val="00804D9C"/>
    <w:rsid w:val="008321D9"/>
    <w:rsid w:val="00837395"/>
    <w:rsid w:val="008C7E7E"/>
    <w:rsid w:val="008D7094"/>
    <w:rsid w:val="0096179F"/>
    <w:rsid w:val="00AE7BCB"/>
    <w:rsid w:val="00B130D6"/>
    <w:rsid w:val="00C10F8A"/>
    <w:rsid w:val="00C33967"/>
    <w:rsid w:val="00C378EF"/>
    <w:rsid w:val="00C446D6"/>
    <w:rsid w:val="00C51FDF"/>
    <w:rsid w:val="00C621D8"/>
    <w:rsid w:val="00CB6689"/>
    <w:rsid w:val="00D23123"/>
    <w:rsid w:val="00D23DA8"/>
    <w:rsid w:val="00D57D0D"/>
    <w:rsid w:val="00D7126A"/>
    <w:rsid w:val="00DE19EC"/>
    <w:rsid w:val="00DF3DB3"/>
    <w:rsid w:val="00E246E9"/>
    <w:rsid w:val="00E53E90"/>
    <w:rsid w:val="00E620E1"/>
    <w:rsid w:val="00F11BE5"/>
    <w:rsid w:val="00F455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E597"/>
  <w15:chartTrackingRefBased/>
  <w15:docId w15:val="{539AF2AB-610E-43E0-A0DD-9798BE5F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621D8"/>
    <w:pPr>
      <w:autoSpaceDE w:val="0"/>
      <w:autoSpaceDN w:val="0"/>
      <w:adjustRightInd w:val="0"/>
      <w:spacing w:after="0" w:line="240" w:lineRule="auto"/>
    </w:pPr>
    <w:rPr>
      <w:rFonts w:ascii="Corbel" w:hAnsi="Corbel" w:cs="Corbel"/>
      <w:color w:val="000000"/>
      <w:sz w:val="24"/>
      <w:szCs w:val="24"/>
    </w:rPr>
  </w:style>
  <w:style w:type="paragraph" w:styleId="Textodeglobo">
    <w:name w:val="Balloon Text"/>
    <w:basedOn w:val="Normal"/>
    <w:link w:val="TextodegloboCar"/>
    <w:uiPriority w:val="99"/>
    <w:semiHidden/>
    <w:unhideWhenUsed/>
    <w:rsid w:val="002D0F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0F98"/>
    <w:rPr>
      <w:rFonts w:ascii="Segoe UI" w:hAnsi="Segoe UI" w:cs="Segoe UI"/>
      <w:sz w:val="18"/>
      <w:szCs w:val="18"/>
    </w:rPr>
  </w:style>
  <w:style w:type="character" w:styleId="Hipervnculo">
    <w:name w:val="Hyperlink"/>
    <w:basedOn w:val="Fuentedeprrafopredeter"/>
    <w:uiPriority w:val="99"/>
    <w:unhideWhenUsed/>
    <w:rsid w:val="0096179F"/>
    <w:rPr>
      <w:color w:val="0563C1" w:themeColor="hyperlink"/>
      <w:u w:val="single"/>
    </w:rPr>
  </w:style>
  <w:style w:type="character" w:customStyle="1" w:styleId="UnresolvedMention">
    <w:name w:val="Unresolved Mention"/>
    <w:basedOn w:val="Fuentedeprrafopredeter"/>
    <w:uiPriority w:val="99"/>
    <w:semiHidden/>
    <w:unhideWhenUsed/>
    <w:rsid w:val="004661E8"/>
    <w:rPr>
      <w:color w:val="605E5C"/>
      <w:shd w:val="clear" w:color="auto" w:fill="E1DFDD"/>
    </w:rPr>
  </w:style>
  <w:style w:type="paragraph" w:styleId="Prrafodelista">
    <w:name w:val="List Paragraph"/>
    <w:basedOn w:val="Normal"/>
    <w:uiPriority w:val="34"/>
    <w:qFormat/>
    <w:rsid w:val="00C51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02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isgm.com/el-iisgm/estrateg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isgm.com/infraestructura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FD848-A7F3-4CA6-B701-991B5AB12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731</Words>
  <Characters>4089</Characters>
  <Application>Microsoft Office Word</Application>
  <DocSecurity>0</DocSecurity>
  <Lines>57</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Arantxa Miner</dc:creator>
  <cp:keywords/>
  <dc:description/>
  <cp:lastModifiedBy>Arantzazu Miner</cp:lastModifiedBy>
  <cp:revision>5</cp:revision>
  <cp:lastPrinted>2025-02-17T08:24:00Z</cp:lastPrinted>
  <dcterms:created xsi:type="dcterms:W3CDTF">2026-02-17T10:46:00Z</dcterms:created>
  <dcterms:modified xsi:type="dcterms:W3CDTF">2026-02-17T10:53:00Z</dcterms:modified>
</cp:coreProperties>
</file>